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2D2" w:rsidRDefault="00E332D2" w:rsidP="00E332D2">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3790950" cy="6096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gifrance-Le-service-public-de-l-acces-au-droit.jpg"/>
                    <pic:cNvPicPr/>
                  </pic:nvPicPr>
                  <pic:blipFill>
                    <a:blip r:embed="rId5">
                      <a:extLst>
                        <a:ext uri="{28A0092B-C50C-407E-A947-70E740481C1C}">
                          <a14:useLocalDpi xmlns:a14="http://schemas.microsoft.com/office/drawing/2010/main" val="0"/>
                        </a:ext>
                      </a:extLst>
                    </a:blip>
                    <a:stretch>
                      <a:fillRect/>
                    </a:stretch>
                  </pic:blipFill>
                  <pic:spPr>
                    <a:xfrm>
                      <a:off x="0" y="0"/>
                      <a:ext cx="3790950" cy="609600"/>
                    </a:xfrm>
                    <a:prstGeom prst="rect">
                      <a:avLst/>
                    </a:prstGeom>
                  </pic:spPr>
                </pic:pic>
              </a:graphicData>
            </a:graphic>
          </wp:inline>
        </w:drawing>
      </w:r>
    </w:p>
    <w:p w:rsidR="00E332D2" w:rsidRPr="00E332D2" w:rsidRDefault="00E332D2" w:rsidP="00E332D2">
      <w:pPr>
        <w:spacing w:after="0" w:line="240" w:lineRule="auto"/>
        <w:rPr>
          <w:rFonts w:ascii="Times New Roman" w:eastAsia="Times New Roman" w:hAnsi="Times New Roman" w:cs="Times New Roman"/>
          <w:sz w:val="24"/>
          <w:szCs w:val="24"/>
          <w:lang w:eastAsia="fr-FR"/>
        </w:rPr>
      </w:pPr>
      <w:hyperlink r:id="rId6" w:history="1">
        <w:r w:rsidRPr="00E332D2">
          <w:rPr>
            <w:rFonts w:ascii="Times New Roman" w:eastAsia="Times New Roman" w:hAnsi="Times New Roman" w:cs="Times New Roman"/>
            <w:b/>
            <w:bCs/>
            <w:color w:val="0000FF"/>
            <w:sz w:val="24"/>
            <w:szCs w:val="24"/>
            <w:u w:val="single"/>
            <w:lang w:eastAsia="fr-FR"/>
          </w:rPr>
          <w:t xml:space="preserve">Arrêté du 21 juillet 2010 relatif à la lutte contre </w:t>
        </w:r>
        <w:proofErr w:type="spellStart"/>
        <w:r w:rsidRPr="00E332D2">
          <w:rPr>
            <w:rFonts w:ascii="Times New Roman" w:eastAsia="Times New Roman" w:hAnsi="Times New Roman" w:cs="Times New Roman"/>
            <w:b/>
            <w:bCs/>
            <w:color w:val="0000FF"/>
            <w:sz w:val="24"/>
            <w:szCs w:val="24"/>
            <w:u w:val="single"/>
            <w:lang w:eastAsia="fr-FR"/>
          </w:rPr>
          <w:t>Rhynchophorus</w:t>
        </w:r>
        <w:proofErr w:type="spellEnd"/>
        <w:r w:rsidRPr="00E332D2">
          <w:rPr>
            <w:rFonts w:ascii="Times New Roman" w:eastAsia="Times New Roman" w:hAnsi="Times New Roman" w:cs="Times New Roman"/>
            <w:b/>
            <w:bCs/>
            <w:color w:val="0000FF"/>
            <w:sz w:val="24"/>
            <w:szCs w:val="24"/>
            <w:u w:val="single"/>
            <w:lang w:eastAsia="fr-FR"/>
          </w:rPr>
          <w:t xml:space="preserve"> </w:t>
        </w:r>
        <w:proofErr w:type="spellStart"/>
        <w:r w:rsidRPr="00E332D2">
          <w:rPr>
            <w:rFonts w:ascii="Times New Roman" w:eastAsia="Times New Roman" w:hAnsi="Times New Roman" w:cs="Times New Roman"/>
            <w:b/>
            <w:bCs/>
            <w:color w:val="0000FF"/>
            <w:sz w:val="24"/>
            <w:szCs w:val="24"/>
            <w:u w:val="single"/>
            <w:lang w:eastAsia="fr-FR"/>
          </w:rPr>
          <w:t>ferrugineus</w:t>
        </w:r>
        <w:proofErr w:type="spellEnd"/>
        <w:r w:rsidRPr="00E332D2">
          <w:rPr>
            <w:rFonts w:ascii="Times New Roman" w:eastAsia="Times New Roman" w:hAnsi="Times New Roman" w:cs="Times New Roman"/>
            <w:b/>
            <w:bCs/>
            <w:color w:val="0000FF"/>
            <w:sz w:val="24"/>
            <w:szCs w:val="24"/>
            <w:u w:val="single"/>
            <w:lang w:eastAsia="fr-FR"/>
          </w:rPr>
          <w:t xml:space="preserve"> (Olivier)</w:t>
        </w:r>
        <w:r w:rsidRPr="00E332D2">
          <w:rPr>
            <w:rFonts w:ascii="Times New Roman" w:eastAsia="Times New Roman" w:hAnsi="Times New Roman" w:cs="Times New Roman"/>
            <w:color w:val="0000FF"/>
            <w:sz w:val="24"/>
            <w:szCs w:val="24"/>
            <w:u w:val="single"/>
            <w:lang w:eastAsia="fr-FR"/>
          </w:rPr>
          <w:t xml:space="preserve"> </w:t>
        </w:r>
      </w:hyperlink>
    </w:p>
    <w:p w:rsidR="00E332D2" w:rsidRPr="00E332D2" w:rsidRDefault="00E332D2" w:rsidP="00E332D2">
      <w:pPr>
        <w:spacing w:after="0" w:line="240" w:lineRule="auto"/>
        <w:rPr>
          <w:rFonts w:ascii="Times New Roman" w:eastAsia="Times New Roman" w:hAnsi="Times New Roman" w:cs="Times New Roman"/>
          <w:sz w:val="24"/>
          <w:szCs w:val="24"/>
          <w:lang w:eastAsia="fr-FR"/>
        </w:rPr>
      </w:pPr>
    </w:p>
    <w:p w:rsidR="00E332D2" w:rsidRPr="00E332D2" w:rsidRDefault="00E332D2" w:rsidP="00E332D2">
      <w:pPr>
        <w:spacing w:after="0"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Article Annexe 1</w:t>
      </w:r>
    </w:p>
    <w:p w:rsidR="00E332D2" w:rsidRPr="00E332D2" w:rsidRDefault="00E332D2" w:rsidP="00E332D2">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Modifié par </w:t>
      </w:r>
      <w:hyperlink r:id="rId7" w:anchor="LEGIARTI000029323781" w:history="1">
        <w:r w:rsidRPr="00E332D2">
          <w:rPr>
            <w:rFonts w:ascii="Times New Roman" w:eastAsia="Times New Roman" w:hAnsi="Times New Roman" w:cs="Times New Roman"/>
            <w:color w:val="0000FF"/>
            <w:sz w:val="24"/>
            <w:szCs w:val="24"/>
            <w:u w:val="single"/>
            <w:lang w:eastAsia="fr-FR"/>
          </w:rPr>
          <w:t>ARRÊTÉ du 24 juillet 2014 - art. 1</w:t>
        </w:r>
      </w:hyperlink>
      <w:r w:rsidRPr="00E332D2">
        <w:rPr>
          <w:rFonts w:ascii="Times New Roman" w:eastAsia="Times New Roman" w:hAnsi="Times New Roman" w:cs="Times New Roman"/>
          <w:sz w:val="24"/>
          <w:szCs w:val="24"/>
          <w:lang w:eastAsia="fr-FR"/>
        </w:rPr>
        <w:t xml:space="preserve"> </w:t>
      </w:r>
    </w:p>
    <w:p w:rsidR="00E332D2" w:rsidRPr="00E332D2" w:rsidRDefault="00E332D2" w:rsidP="00E332D2">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Modifié par </w:t>
      </w:r>
      <w:hyperlink r:id="rId8" w:anchor="LEGIARTI000029323783" w:history="1">
        <w:r w:rsidRPr="00E332D2">
          <w:rPr>
            <w:rFonts w:ascii="Times New Roman" w:eastAsia="Times New Roman" w:hAnsi="Times New Roman" w:cs="Times New Roman"/>
            <w:color w:val="0000FF"/>
            <w:sz w:val="24"/>
            <w:szCs w:val="24"/>
            <w:u w:val="single"/>
            <w:lang w:eastAsia="fr-FR"/>
          </w:rPr>
          <w:t>ARRÊTÉ du 24 juillet 2014 - art. 2</w:t>
        </w:r>
      </w:hyperlink>
      <w:r w:rsidRPr="00E332D2">
        <w:rPr>
          <w:rFonts w:ascii="Times New Roman" w:eastAsia="Times New Roman" w:hAnsi="Times New Roman" w:cs="Times New Roman"/>
          <w:sz w:val="24"/>
          <w:szCs w:val="24"/>
          <w:lang w:eastAsia="fr-FR"/>
        </w:rPr>
        <w:t xml:space="preserv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A. ― Dispositions générales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Sans préjudice du respect des conditions d'application prévues par la présente annexe, les utilisateurs des produits mentionnés respectent les préconisations faites par les services chargés de la protection des végétaux dans le département.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A l'exception des traitements effectués en cultures protégées non accessibles aux pollinisateurs, les inflorescences de tout palmier traité par pulvérisation foliaire ou traitement du sol avec des préparations insecticides à base d'imidaclopride ou en injection par des préparations insecticides à base de benzoate d'</w:t>
      </w:r>
      <w:proofErr w:type="spellStart"/>
      <w:r w:rsidRPr="00E332D2">
        <w:rPr>
          <w:rFonts w:ascii="Times New Roman" w:eastAsia="Times New Roman" w:hAnsi="Times New Roman" w:cs="Times New Roman"/>
          <w:sz w:val="24"/>
          <w:szCs w:val="24"/>
          <w:lang w:eastAsia="fr-FR"/>
        </w:rPr>
        <w:t>émamectine</w:t>
      </w:r>
      <w:proofErr w:type="spellEnd"/>
      <w:r w:rsidRPr="00E332D2">
        <w:rPr>
          <w:rFonts w:ascii="Times New Roman" w:eastAsia="Times New Roman" w:hAnsi="Times New Roman" w:cs="Times New Roman"/>
          <w:sz w:val="24"/>
          <w:szCs w:val="24"/>
          <w:lang w:eastAsia="fr-FR"/>
        </w:rPr>
        <w:t xml:space="preserve"> doivent être coupées et éliminées durant le traitement et à leur émergence durant l'année qui suit le traitement.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L'application des produits phytopharmaceutiques par un prestataire de services est subordonnée à la détention d'un agrément dans le respect des articles </w:t>
      </w:r>
      <w:hyperlink r:id="rId9" w:history="1">
        <w:r w:rsidRPr="00E332D2">
          <w:rPr>
            <w:rFonts w:ascii="Times New Roman" w:eastAsia="Times New Roman" w:hAnsi="Times New Roman" w:cs="Times New Roman"/>
            <w:color w:val="0000FF"/>
            <w:sz w:val="24"/>
            <w:szCs w:val="24"/>
            <w:u w:val="single"/>
            <w:lang w:eastAsia="fr-FR"/>
          </w:rPr>
          <w:t xml:space="preserve">L. 254-2 </w:t>
        </w:r>
      </w:hyperlink>
      <w:r w:rsidRPr="00E332D2">
        <w:rPr>
          <w:rFonts w:ascii="Times New Roman" w:eastAsia="Times New Roman" w:hAnsi="Times New Roman" w:cs="Times New Roman"/>
          <w:sz w:val="24"/>
          <w:szCs w:val="24"/>
          <w:lang w:eastAsia="fr-FR"/>
        </w:rPr>
        <w:t xml:space="preserve">et suivants du code rural et de la pêche maritime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B. ― Traitements préventifs des palmiers en plantation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Une des trois stratégies de traitements suivantes doit être mise en œuvre : deux stratégies de traitement par pulvérisation des parties aériennes des palmiers (stratégies n° 1 et n° 2) ainsi qu'une stratégie de traitement par injection dans le stipe du palmier (stratégie n° 3). Ces programmes de traitement portent sur la période de vol des insectes adultes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b/>
          <w:sz w:val="24"/>
          <w:szCs w:val="24"/>
          <w:lang w:eastAsia="fr-FR"/>
        </w:rPr>
      </w:pPr>
      <w:r w:rsidRPr="00E332D2">
        <w:rPr>
          <w:rFonts w:ascii="Times New Roman" w:eastAsia="Times New Roman" w:hAnsi="Times New Roman" w:cs="Times New Roman"/>
          <w:b/>
          <w:sz w:val="24"/>
          <w:szCs w:val="24"/>
          <w:lang w:eastAsia="fr-FR"/>
        </w:rPr>
        <w:t xml:space="preserve">Stratégie 1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Trois périodes de traitement sont distinguées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a) La période printanière : du 1er mars au 30 juin.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5 applications d'une préparation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espacées de 21 jours doivent être réalisées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b) La période estivale : du 1er juillet au 31 août.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2 applications de traitements insecticides espacées de 21 jours à 1 mois doivent être réalisées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c) La période automnale : du 1er septembre au 15 novembre.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lastRenderedPageBreak/>
        <w:t xml:space="preserve">5 applications d'une préparation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espacées de 21 jours doivent être réalisées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Les traitements chimiques sont réalisés en utilisant des produits phytopharmaceutiques à base d'imidaclopride conformément aux prescriptions de l</w:t>
      </w:r>
      <w:hyperlink r:id="rId10" w:history="1">
        <w:r w:rsidRPr="00E332D2">
          <w:rPr>
            <w:rFonts w:ascii="Times New Roman" w:eastAsia="Times New Roman" w:hAnsi="Times New Roman" w:cs="Times New Roman"/>
            <w:color w:val="0000FF"/>
            <w:sz w:val="24"/>
            <w:szCs w:val="24"/>
            <w:u w:val="single"/>
            <w:lang w:eastAsia="fr-FR"/>
          </w:rPr>
          <w:t>'arrêté du 5 juin 2009</w:t>
        </w:r>
      </w:hyperlink>
      <w:r w:rsidRPr="00E332D2">
        <w:rPr>
          <w:rFonts w:ascii="Times New Roman" w:eastAsia="Times New Roman" w:hAnsi="Times New Roman" w:cs="Times New Roman"/>
          <w:sz w:val="24"/>
          <w:szCs w:val="24"/>
          <w:lang w:eastAsia="fr-FR"/>
        </w:rPr>
        <w:t xml:space="preserv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Les traitements biologiques sont réalisés avec une préparation à base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w:t>
      </w:r>
      <w:proofErr w:type="spellStart"/>
      <w:r w:rsidRPr="00E332D2">
        <w:rPr>
          <w:rFonts w:ascii="Times New Roman" w:eastAsia="Times New Roman" w:hAnsi="Times New Roman" w:cs="Times New Roman"/>
          <w:sz w:val="24"/>
          <w:szCs w:val="24"/>
          <w:lang w:eastAsia="fr-FR"/>
        </w:rPr>
        <w:t>Steinernema</w:t>
      </w:r>
      <w:proofErr w:type="spellEnd"/>
      <w:r w:rsidRPr="00E332D2">
        <w:rPr>
          <w:rFonts w:ascii="Times New Roman" w:eastAsia="Times New Roman" w:hAnsi="Times New Roman" w:cs="Times New Roman"/>
          <w:sz w:val="24"/>
          <w:szCs w:val="24"/>
          <w:lang w:eastAsia="fr-FR"/>
        </w:rPr>
        <w:t xml:space="preserve"> </w:t>
      </w:r>
      <w:proofErr w:type="spellStart"/>
      <w:r w:rsidRPr="00E332D2">
        <w:rPr>
          <w:rFonts w:ascii="Times New Roman" w:eastAsia="Times New Roman" w:hAnsi="Times New Roman" w:cs="Times New Roman"/>
          <w:sz w:val="24"/>
          <w:szCs w:val="24"/>
          <w:lang w:eastAsia="fr-FR"/>
        </w:rPr>
        <w:t>carpocapsae</w:t>
      </w:r>
      <w:proofErr w:type="spellEnd"/>
      <w:r w:rsidRPr="00E332D2">
        <w:rPr>
          <w:rFonts w:ascii="Times New Roman" w:eastAsia="Times New Roman" w:hAnsi="Times New Roman" w:cs="Times New Roman"/>
          <w:sz w:val="24"/>
          <w:szCs w:val="24"/>
          <w:lang w:eastAsia="fr-FR"/>
        </w:rPr>
        <w:t xml:space="preserve">, à une dose de 180 millions de formes juvéniles/ hl d'eau au minimum. La préparation devra être appliquée conformément aux recommandations du distributeur. Il convient notamment d'éviter leur utilisation en période chaude et sèche.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b/>
          <w:sz w:val="24"/>
          <w:szCs w:val="24"/>
          <w:lang w:eastAsia="fr-FR"/>
        </w:rPr>
      </w:pPr>
      <w:r w:rsidRPr="00E332D2">
        <w:rPr>
          <w:rFonts w:ascii="Times New Roman" w:eastAsia="Times New Roman" w:hAnsi="Times New Roman" w:cs="Times New Roman"/>
          <w:b/>
          <w:sz w:val="24"/>
          <w:szCs w:val="24"/>
          <w:lang w:eastAsia="fr-FR"/>
        </w:rPr>
        <w:t xml:space="preserve">Stratégie 2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Trois périodes de traitement sont distinguées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a) La période printanière : du 1er mars au 30 juin.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4 applications de traitements insecticides espacées de 21 jours à 1 mois ou une alternance d'applications d'une préparation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et de traitements insecticides espacées de 21 jours à 1 mois doivent être réalisées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b) La période estivale : du 1er juillet au 31 août.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Aucune application de traitement ne sera effectuée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c) La période automnale : du 1er septembre au 15 novembre.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4 applications de traitements insecticides espacées de 21 jours à 1 mois ou une alternance d'applications d'une préparation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et de traitements insecticides espacées de 21 jours à 1 mois doivent être réalisées sur cette période.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Les traitements chimiques sont réalisés en utilisant des produits phytopharmaceutiques à base d'imidaclopride conformément aux prescriptions de l'arrêté du 5 juin 2009.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Les traitements biologiques sont réalisés avec une préparation à base de nématodes </w:t>
      </w:r>
      <w:proofErr w:type="spellStart"/>
      <w:r w:rsidRPr="00E332D2">
        <w:rPr>
          <w:rFonts w:ascii="Times New Roman" w:eastAsia="Times New Roman" w:hAnsi="Times New Roman" w:cs="Times New Roman"/>
          <w:sz w:val="24"/>
          <w:szCs w:val="24"/>
          <w:lang w:eastAsia="fr-FR"/>
        </w:rPr>
        <w:t>entomopathogènes</w:t>
      </w:r>
      <w:proofErr w:type="spellEnd"/>
      <w:r w:rsidRPr="00E332D2">
        <w:rPr>
          <w:rFonts w:ascii="Times New Roman" w:eastAsia="Times New Roman" w:hAnsi="Times New Roman" w:cs="Times New Roman"/>
          <w:sz w:val="24"/>
          <w:szCs w:val="24"/>
          <w:lang w:eastAsia="fr-FR"/>
        </w:rPr>
        <w:t xml:space="preserve">, </w:t>
      </w:r>
      <w:proofErr w:type="spellStart"/>
      <w:r w:rsidRPr="00E332D2">
        <w:rPr>
          <w:rFonts w:ascii="Times New Roman" w:eastAsia="Times New Roman" w:hAnsi="Times New Roman" w:cs="Times New Roman"/>
          <w:sz w:val="24"/>
          <w:szCs w:val="24"/>
          <w:lang w:eastAsia="fr-FR"/>
        </w:rPr>
        <w:t>Steinernema</w:t>
      </w:r>
      <w:proofErr w:type="spellEnd"/>
      <w:r w:rsidRPr="00E332D2">
        <w:rPr>
          <w:rFonts w:ascii="Times New Roman" w:eastAsia="Times New Roman" w:hAnsi="Times New Roman" w:cs="Times New Roman"/>
          <w:sz w:val="24"/>
          <w:szCs w:val="24"/>
          <w:lang w:eastAsia="fr-FR"/>
        </w:rPr>
        <w:t xml:space="preserve"> </w:t>
      </w:r>
      <w:proofErr w:type="spellStart"/>
      <w:r w:rsidRPr="00E332D2">
        <w:rPr>
          <w:rFonts w:ascii="Times New Roman" w:eastAsia="Times New Roman" w:hAnsi="Times New Roman" w:cs="Times New Roman"/>
          <w:sz w:val="24"/>
          <w:szCs w:val="24"/>
          <w:lang w:eastAsia="fr-FR"/>
        </w:rPr>
        <w:t>carpocapsae</w:t>
      </w:r>
      <w:proofErr w:type="spellEnd"/>
      <w:r w:rsidRPr="00E332D2">
        <w:rPr>
          <w:rFonts w:ascii="Times New Roman" w:eastAsia="Times New Roman" w:hAnsi="Times New Roman" w:cs="Times New Roman"/>
          <w:sz w:val="24"/>
          <w:szCs w:val="24"/>
          <w:lang w:eastAsia="fr-FR"/>
        </w:rPr>
        <w:t xml:space="preserve">, à une dose de 180 millions de formes juvéniles/ hl d'eau au minimum. La préparation devra être appliquée conformément aux recommandations du distributeur. Il convient notamment d'éviter leur utilisation en période chaude et sèche.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b/>
          <w:sz w:val="24"/>
          <w:szCs w:val="24"/>
          <w:lang w:eastAsia="fr-FR"/>
        </w:rPr>
      </w:pPr>
      <w:r w:rsidRPr="00E332D2">
        <w:rPr>
          <w:rFonts w:ascii="Times New Roman" w:eastAsia="Times New Roman" w:hAnsi="Times New Roman" w:cs="Times New Roman"/>
          <w:b/>
          <w:sz w:val="24"/>
          <w:szCs w:val="24"/>
          <w:lang w:eastAsia="fr-FR"/>
        </w:rPr>
        <w:t xml:space="preserve">Stratégie 3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Traitement à l'aide d'un produi</w:t>
      </w:r>
      <w:bookmarkStart w:id="0" w:name="_GoBack"/>
      <w:bookmarkEnd w:id="0"/>
      <w:r w:rsidRPr="00E332D2">
        <w:rPr>
          <w:rFonts w:ascii="Times New Roman" w:eastAsia="Times New Roman" w:hAnsi="Times New Roman" w:cs="Times New Roman"/>
          <w:sz w:val="24"/>
          <w:szCs w:val="24"/>
          <w:lang w:eastAsia="fr-FR"/>
        </w:rPr>
        <w:t>t phytopharmaceutique insecticide injectable dans le stipe du palmier à base de benzoate d'</w:t>
      </w:r>
      <w:proofErr w:type="spellStart"/>
      <w:r w:rsidRPr="00E332D2">
        <w:rPr>
          <w:rFonts w:ascii="Times New Roman" w:eastAsia="Times New Roman" w:hAnsi="Times New Roman" w:cs="Times New Roman"/>
          <w:sz w:val="24"/>
          <w:szCs w:val="24"/>
          <w:lang w:eastAsia="fr-FR"/>
        </w:rPr>
        <w:t>émamectine</w:t>
      </w:r>
      <w:proofErr w:type="spellEnd"/>
      <w:r w:rsidRPr="00E332D2">
        <w:rPr>
          <w:rFonts w:ascii="Times New Roman" w:eastAsia="Times New Roman" w:hAnsi="Times New Roman" w:cs="Times New Roman"/>
          <w:sz w:val="24"/>
          <w:szCs w:val="24"/>
          <w:lang w:eastAsia="fr-FR"/>
        </w:rPr>
        <w:t xml:space="preserve"> autorisée pour l'usage palmier d'ornement en injection sur charançon rouge du palmier selon les conditions d'utilisation suivantes : le traitement est réalisé une fois par an en période printanière du 1er mars au 30 juin ou en période automnale du 1er septembre au 15 novembre. L'injection est réalisée en réalisant de 2 à 4 trous disposés en hélice autour du stipe, d'une profondeur allant de 15 à 30 cm mais ne représentant pas plus de 1/3 du diamètre du stipe. 50 ml de produit pur sont répartis </w:t>
      </w:r>
      <w:r w:rsidRPr="00E332D2">
        <w:rPr>
          <w:rFonts w:ascii="Times New Roman" w:eastAsia="Times New Roman" w:hAnsi="Times New Roman" w:cs="Times New Roman"/>
          <w:sz w:val="24"/>
          <w:szCs w:val="24"/>
          <w:lang w:eastAsia="fr-FR"/>
        </w:rPr>
        <w:lastRenderedPageBreak/>
        <w:t>équitablement dans les différents trous. Ces trous sont réalisés dans le stipe du palmier généralement à hauteur d'homme sauf pour les petits sujets pour lesquels la distance entre les points d'injection et la base de la couronne ne doit pas être inférieure à 50 cm.</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C. ― Traitements préventifs des palmiers en conteneurs dans des lieux de production, de stockage ou de vente de palmiers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Les traitements sont réalisés par traitement du sol en utilisant des produits phytopharmaceutiques à base d'imidaclopride conformément aux prescriptions de l'arrêté du 5 juin 2009.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D. ― Traitements des palmiers ayant fait l'objet d'une intervention d'éradication par destruction de la partie infestée du végétal : </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Les parties blessées du végétal font l'objet, immédiatement après l'intervention de destruction de la partie infestée, de l'application par pulvérisation des parties aériennes de produits phytopharmaceutiques à base d'imidaclopride conformément aux prescriptions de l'arrêté du 5 juin 2009 ou par injection d'un produit phytopharmaceutique dans le stipe du palmier à base de benzoate d'</w:t>
      </w:r>
      <w:proofErr w:type="spellStart"/>
      <w:r w:rsidRPr="00E332D2">
        <w:rPr>
          <w:rFonts w:ascii="Times New Roman" w:eastAsia="Times New Roman" w:hAnsi="Times New Roman" w:cs="Times New Roman"/>
          <w:sz w:val="24"/>
          <w:szCs w:val="24"/>
          <w:lang w:eastAsia="fr-FR"/>
        </w:rPr>
        <w:t>émamectine</w:t>
      </w:r>
      <w:proofErr w:type="spellEnd"/>
      <w:r w:rsidRPr="00E332D2">
        <w:rPr>
          <w:rFonts w:ascii="Times New Roman" w:eastAsia="Times New Roman" w:hAnsi="Times New Roman" w:cs="Times New Roman"/>
          <w:sz w:val="24"/>
          <w:szCs w:val="24"/>
          <w:lang w:eastAsia="fr-FR"/>
        </w:rPr>
        <w:t xml:space="preserve"> homologué pour l'usage palmier d'ornement en injection sur charançon rouge du palmier selon les conditions d'utilisation suivantes : le traitement est réalisé une fois par an en période printanière du 1er mars au 30 juin ou en période automnale du 1er septembre au 15 novembre. L'injection est réalisée en réalisant de 2 à 4 trous disposés en hélice autour du stipe, d'une profondeur allant de 15 à 30 cm mais ne représentant pas plus de 1/3 du diamètre du stipe. 50 ml de produit pur sont répartis équitablement dans les différents trous. Ces trous sont réalisés dans le stipe du palmier généralement à hauteur d'homme sauf pour les petits sujets pour lesquels la distance entre les points d'injection et la base de la couronne ne doit pas être inférieure à 50 cm.</w:t>
      </w:r>
    </w:p>
    <w:p w:rsidR="00E332D2" w:rsidRPr="00E332D2" w:rsidRDefault="00E332D2" w:rsidP="00E332D2">
      <w:pPr>
        <w:spacing w:before="100" w:beforeAutospacing="1" w:after="100" w:afterAutospacing="1" w:line="240" w:lineRule="auto"/>
        <w:rPr>
          <w:rFonts w:ascii="Times New Roman" w:eastAsia="Times New Roman" w:hAnsi="Times New Roman" w:cs="Times New Roman"/>
          <w:sz w:val="24"/>
          <w:szCs w:val="24"/>
          <w:lang w:eastAsia="fr-FR"/>
        </w:rPr>
      </w:pPr>
      <w:r w:rsidRPr="00E332D2">
        <w:rPr>
          <w:rFonts w:ascii="Times New Roman" w:eastAsia="Times New Roman" w:hAnsi="Times New Roman" w:cs="Times New Roman"/>
          <w:sz w:val="24"/>
          <w:szCs w:val="24"/>
          <w:lang w:eastAsia="fr-FR"/>
        </w:rPr>
        <w:t xml:space="preserve">Par ailleurs, une préparation fongicide est appliquée immédiatement après intervention, renouvelée deux fois. Ces traitements sont réalisés par l'application d'une préparation autorisée pour l'usage Arbres et arbustes d'ornement ― traitement des parties aériennes ― maladies diverses, à partir de </w:t>
      </w:r>
      <w:proofErr w:type="spellStart"/>
      <w:r w:rsidRPr="00E332D2">
        <w:rPr>
          <w:rFonts w:ascii="Times New Roman" w:eastAsia="Times New Roman" w:hAnsi="Times New Roman" w:cs="Times New Roman"/>
          <w:sz w:val="24"/>
          <w:szCs w:val="24"/>
          <w:lang w:eastAsia="fr-FR"/>
        </w:rPr>
        <w:t>mancozèbe</w:t>
      </w:r>
      <w:proofErr w:type="spellEnd"/>
      <w:r w:rsidRPr="00E332D2">
        <w:rPr>
          <w:rFonts w:ascii="Times New Roman" w:eastAsia="Times New Roman" w:hAnsi="Times New Roman" w:cs="Times New Roman"/>
          <w:sz w:val="24"/>
          <w:szCs w:val="24"/>
          <w:lang w:eastAsia="fr-FR"/>
        </w:rPr>
        <w:t xml:space="preserve"> et de </w:t>
      </w:r>
      <w:proofErr w:type="spellStart"/>
      <w:r w:rsidRPr="00E332D2">
        <w:rPr>
          <w:rFonts w:ascii="Times New Roman" w:eastAsia="Times New Roman" w:hAnsi="Times New Roman" w:cs="Times New Roman"/>
          <w:sz w:val="24"/>
          <w:szCs w:val="24"/>
          <w:lang w:eastAsia="fr-FR"/>
        </w:rPr>
        <w:t>myclobutanil</w:t>
      </w:r>
      <w:proofErr w:type="spellEnd"/>
      <w:r w:rsidRPr="00E332D2">
        <w:rPr>
          <w:rFonts w:ascii="Times New Roman" w:eastAsia="Times New Roman" w:hAnsi="Times New Roman" w:cs="Times New Roman"/>
          <w:sz w:val="24"/>
          <w:szCs w:val="24"/>
          <w:lang w:eastAsia="fr-FR"/>
        </w:rPr>
        <w:t xml:space="preserve"> aux doses homologuées.</w:t>
      </w:r>
    </w:p>
    <w:sectPr w:rsidR="00E332D2" w:rsidRPr="00E332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06210C"/>
    <w:multiLevelType w:val="multilevel"/>
    <w:tmpl w:val="234EC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9F47E5"/>
    <w:multiLevelType w:val="multilevel"/>
    <w:tmpl w:val="C046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7F2170"/>
    <w:multiLevelType w:val="multilevel"/>
    <w:tmpl w:val="E8BC3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0A1F49"/>
    <w:multiLevelType w:val="multilevel"/>
    <w:tmpl w:val="E1EE1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2D2"/>
    <w:rsid w:val="0063543B"/>
    <w:rsid w:val="00E332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8F3D63-63D4-42CC-8C92-3F33C4D99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26608">
      <w:bodyDiv w:val="1"/>
      <w:marLeft w:val="0"/>
      <w:marRight w:val="0"/>
      <w:marTop w:val="0"/>
      <w:marBottom w:val="0"/>
      <w:divBdr>
        <w:top w:val="none" w:sz="0" w:space="0" w:color="auto"/>
        <w:left w:val="none" w:sz="0" w:space="0" w:color="auto"/>
        <w:bottom w:val="none" w:sz="0" w:space="0" w:color="auto"/>
        <w:right w:val="none" w:sz="0" w:space="0" w:color="auto"/>
      </w:divBdr>
      <w:divsChild>
        <w:div w:id="1662467847">
          <w:marLeft w:val="0"/>
          <w:marRight w:val="0"/>
          <w:marTop w:val="0"/>
          <w:marBottom w:val="0"/>
          <w:divBdr>
            <w:top w:val="none" w:sz="0" w:space="0" w:color="auto"/>
            <w:left w:val="none" w:sz="0" w:space="0" w:color="auto"/>
            <w:bottom w:val="none" w:sz="0" w:space="0" w:color="auto"/>
            <w:right w:val="none" w:sz="0" w:space="0" w:color="auto"/>
          </w:divBdr>
          <w:divsChild>
            <w:div w:id="1686322446">
              <w:marLeft w:val="0"/>
              <w:marRight w:val="0"/>
              <w:marTop w:val="0"/>
              <w:marBottom w:val="0"/>
              <w:divBdr>
                <w:top w:val="none" w:sz="0" w:space="0" w:color="auto"/>
                <w:left w:val="none" w:sz="0" w:space="0" w:color="auto"/>
                <w:bottom w:val="none" w:sz="0" w:space="0" w:color="auto"/>
                <w:right w:val="none" w:sz="0" w:space="0" w:color="auto"/>
              </w:divBdr>
              <w:divsChild>
                <w:div w:id="1438142165">
                  <w:marLeft w:val="0"/>
                  <w:marRight w:val="0"/>
                  <w:marTop w:val="0"/>
                  <w:marBottom w:val="0"/>
                  <w:divBdr>
                    <w:top w:val="none" w:sz="0" w:space="0" w:color="auto"/>
                    <w:left w:val="none" w:sz="0" w:space="0" w:color="auto"/>
                    <w:bottom w:val="none" w:sz="0" w:space="0" w:color="auto"/>
                    <w:right w:val="none" w:sz="0" w:space="0" w:color="auto"/>
                  </w:divBdr>
                  <w:divsChild>
                    <w:div w:id="596253119">
                      <w:marLeft w:val="0"/>
                      <w:marRight w:val="0"/>
                      <w:marTop w:val="0"/>
                      <w:marBottom w:val="0"/>
                      <w:divBdr>
                        <w:top w:val="none" w:sz="0" w:space="0" w:color="auto"/>
                        <w:left w:val="none" w:sz="0" w:space="0" w:color="auto"/>
                        <w:bottom w:val="none" w:sz="0" w:space="0" w:color="auto"/>
                        <w:right w:val="none" w:sz="0" w:space="0" w:color="auto"/>
                      </w:divBdr>
                      <w:divsChild>
                        <w:div w:id="1461459013">
                          <w:marLeft w:val="0"/>
                          <w:marRight w:val="0"/>
                          <w:marTop w:val="0"/>
                          <w:marBottom w:val="0"/>
                          <w:divBdr>
                            <w:top w:val="none" w:sz="0" w:space="0" w:color="auto"/>
                            <w:left w:val="none" w:sz="0" w:space="0" w:color="auto"/>
                            <w:bottom w:val="none" w:sz="0" w:space="0" w:color="auto"/>
                            <w:right w:val="none" w:sz="0" w:space="0" w:color="auto"/>
                          </w:divBdr>
                          <w:divsChild>
                            <w:div w:id="1549613028">
                              <w:marLeft w:val="0"/>
                              <w:marRight w:val="0"/>
                              <w:marTop w:val="0"/>
                              <w:marBottom w:val="0"/>
                              <w:divBdr>
                                <w:top w:val="none" w:sz="0" w:space="0" w:color="auto"/>
                                <w:left w:val="none" w:sz="0" w:space="0" w:color="auto"/>
                                <w:bottom w:val="none" w:sz="0" w:space="0" w:color="auto"/>
                                <w:right w:val="none" w:sz="0" w:space="0" w:color="auto"/>
                              </w:divBdr>
                              <w:divsChild>
                                <w:div w:id="2128114249">
                                  <w:marLeft w:val="0"/>
                                  <w:marRight w:val="0"/>
                                  <w:marTop w:val="0"/>
                                  <w:marBottom w:val="0"/>
                                  <w:divBdr>
                                    <w:top w:val="none" w:sz="0" w:space="0" w:color="auto"/>
                                    <w:left w:val="none" w:sz="0" w:space="0" w:color="auto"/>
                                    <w:bottom w:val="none" w:sz="0" w:space="0" w:color="auto"/>
                                    <w:right w:val="none" w:sz="0" w:space="0" w:color="auto"/>
                                  </w:divBdr>
                                </w:div>
                              </w:divsChild>
                            </w:div>
                            <w:div w:id="998578013">
                              <w:marLeft w:val="0"/>
                              <w:marRight w:val="0"/>
                              <w:marTop w:val="0"/>
                              <w:marBottom w:val="0"/>
                              <w:divBdr>
                                <w:top w:val="none" w:sz="0" w:space="0" w:color="auto"/>
                                <w:left w:val="none" w:sz="0" w:space="0" w:color="auto"/>
                                <w:bottom w:val="none" w:sz="0" w:space="0" w:color="auto"/>
                                <w:right w:val="none" w:sz="0" w:space="0" w:color="auto"/>
                              </w:divBdr>
                              <w:divsChild>
                                <w:div w:id="948774886">
                                  <w:marLeft w:val="0"/>
                                  <w:marRight w:val="0"/>
                                  <w:marTop w:val="0"/>
                                  <w:marBottom w:val="0"/>
                                  <w:divBdr>
                                    <w:top w:val="none" w:sz="0" w:space="0" w:color="auto"/>
                                    <w:left w:val="none" w:sz="0" w:space="0" w:color="auto"/>
                                    <w:bottom w:val="none" w:sz="0" w:space="0" w:color="auto"/>
                                    <w:right w:val="none" w:sz="0" w:space="0" w:color="auto"/>
                                  </w:divBdr>
                                </w:div>
                                <w:div w:id="1381516067">
                                  <w:marLeft w:val="0"/>
                                  <w:marRight w:val="0"/>
                                  <w:marTop w:val="0"/>
                                  <w:marBottom w:val="0"/>
                                  <w:divBdr>
                                    <w:top w:val="none" w:sz="0" w:space="0" w:color="auto"/>
                                    <w:left w:val="none" w:sz="0" w:space="0" w:color="auto"/>
                                    <w:bottom w:val="none" w:sz="0" w:space="0" w:color="auto"/>
                                    <w:right w:val="none" w:sz="0" w:space="0" w:color="auto"/>
                                  </w:divBdr>
                                </w:div>
                                <w:div w:id="55307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5147802">
      <w:bodyDiv w:val="1"/>
      <w:marLeft w:val="0"/>
      <w:marRight w:val="0"/>
      <w:marTop w:val="0"/>
      <w:marBottom w:val="0"/>
      <w:divBdr>
        <w:top w:val="none" w:sz="0" w:space="0" w:color="auto"/>
        <w:left w:val="none" w:sz="0" w:space="0" w:color="auto"/>
        <w:bottom w:val="none" w:sz="0" w:space="0" w:color="auto"/>
        <w:right w:val="none" w:sz="0" w:space="0" w:color="auto"/>
      </w:divBdr>
      <w:divsChild>
        <w:div w:id="922254474">
          <w:marLeft w:val="0"/>
          <w:marRight w:val="0"/>
          <w:marTop w:val="0"/>
          <w:marBottom w:val="0"/>
          <w:divBdr>
            <w:top w:val="none" w:sz="0" w:space="0" w:color="auto"/>
            <w:left w:val="none" w:sz="0" w:space="0" w:color="auto"/>
            <w:bottom w:val="none" w:sz="0" w:space="0" w:color="auto"/>
            <w:right w:val="none" w:sz="0" w:space="0" w:color="auto"/>
          </w:divBdr>
          <w:divsChild>
            <w:div w:id="1370297203">
              <w:marLeft w:val="0"/>
              <w:marRight w:val="0"/>
              <w:marTop w:val="0"/>
              <w:marBottom w:val="0"/>
              <w:divBdr>
                <w:top w:val="none" w:sz="0" w:space="0" w:color="auto"/>
                <w:left w:val="none" w:sz="0" w:space="0" w:color="auto"/>
                <w:bottom w:val="none" w:sz="0" w:space="0" w:color="auto"/>
                <w:right w:val="none" w:sz="0" w:space="0" w:color="auto"/>
              </w:divBdr>
              <w:divsChild>
                <w:div w:id="561910887">
                  <w:marLeft w:val="0"/>
                  <w:marRight w:val="0"/>
                  <w:marTop w:val="0"/>
                  <w:marBottom w:val="0"/>
                  <w:divBdr>
                    <w:top w:val="none" w:sz="0" w:space="0" w:color="auto"/>
                    <w:left w:val="none" w:sz="0" w:space="0" w:color="auto"/>
                    <w:bottom w:val="none" w:sz="0" w:space="0" w:color="auto"/>
                    <w:right w:val="none" w:sz="0" w:space="0" w:color="auto"/>
                  </w:divBdr>
                  <w:divsChild>
                    <w:div w:id="986519301">
                      <w:marLeft w:val="0"/>
                      <w:marRight w:val="0"/>
                      <w:marTop w:val="0"/>
                      <w:marBottom w:val="0"/>
                      <w:divBdr>
                        <w:top w:val="none" w:sz="0" w:space="0" w:color="auto"/>
                        <w:left w:val="none" w:sz="0" w:space="0" w:color="auto"/>
                        <w:bottom w:val="none" w:sz="0" w:space="0" w:color="auto"/>
                        <w:right w:val="none" w:sz="0" w:space="0" w:color="auto"/>
                      </w:divBdr>
                      <w:divsChild>
                        <w:div w:id="354960614">
                          <w:marLeft w:val="0"/>
                          <w:marRight w:val="0"/>
                          <w:marTop w:val="0"/>
                          <w:marBottom w:val="0"/>
                          <w:divBdr>
                            <w:top w:val="none" w:sz="0" w:space="0" w:color="auto"/>
                            <w:left w:val="none" w:sz="0" w:space="0" w:color="auto"/>
                            <w:bottom w:val="none" w:sz="0" w:space="0" w:color="auto"/>
                            <w:right w:val="none" w:sz="0" w:space="0" w:color="auto"/>
                          </w:divBdr>
                          <w:divsChild>
                            <w:div w:id="196893095">
                              <w:marLeft w:val="0"/>
                              <w:marRight w:val="0"/>
                              <w:marTop w:val="0"/>
                              <w:marBottom w:val="0"/>
                              <w:divBdr>
                                <w:top w:val="none" w:sz="0" w:space="0" w:color="auto"/>
                                <w:left w:val="none" w:sz="0" w:space="0" w:color="auto"/>
                                <w:bottom w:val="none" w:sz="0" w:space="0" w:color="auto"/>
                                <w:right w:val="none" w:sz="0" w:space="0" w:color="auto"/>
                              </w:divBdr>
                              <w:divsChild>
                                <w:div w:id="795415833">
                                  <w:marLeft w:val="0"/>
                                  <w:marRight w:val="0"/>
                                  <w:marTop w:val="0"/>
                                  <w:marBottom w:val="0"/>
                                  <w:divBdr>
                                    <w:top w:val="none" w:sz="0" w:space="0" w:color="auto"/>
                                    <w:left w:val="none" w:sz="0" w:space="0" w:color="auto"/>
                                    <w:bottom w:val="none" w:sz="0" w:space="0" w:color="auto"/>
                                    <w:right w:val="none" w:sz="0" w:space="0" w:color="auto"/>
                                  </w:divBdr>
                                </w:div>
                              </w:divsChild>
                            </w:div>
                            <w:div w:id="1160847936">
                              <w:marLeft w:val="0"/>
                              <w:marRight w:val="0"/>
                              <w:marTop w:val="0"/>
                              <w:marBottom w:val="0"/>
                              <w:divBdr>
                                <w:top w:val="none" w:sz="0" w:space="0" w:color="auto"/>
                                <w:left w:val="none" w:sz="0" w:space="0" w:color="auto"/>
                                <w:bottom w:val="none" w:sz="0" w:space="0" w:color="auto"/>
                                <w:right w:val="none" w:sz="0" w:space="0" w:color="auto"/>
                              </w:divBdr>
                              <w:divsChild>
                                <w:div w:id="65541142">
                                  <w:marLeft w:val="0"/>
                                  <w:marRight w:val="0"/>
                                  <w:marTop w:val="0"/>
                                  <w:marBottom w:val="0"/>
                                  <w:divBdr>
                                    <w:top w:val="none" w:sz="0" w:space="0" w:color="auto"/>
                                    <w:left w:val="none" w:sz="0" w:space="0" w:color="auto"/>
                                    <w:bottom w:val="none" w:sz="0" w:space="0" w:color="auto"/>
                                    <w:right w:val="none" w:sz="0" w:space="0" w:color="auto"/>
                                  </w:divBdr>
                                </w:div>
                                <w:div w:id="2137140786">
                                  <w:marLeft w:val="0"/>
                                  <w:marRight w:val="0"/>
                                  <w:marTop w:val="0"/>
                                  <w:marBottom w:val="0"/>
                                  <w:divBdr>
                                    <w:top w:val="none" w:sz="0" w:space="0" w:color="auto"/>
                                    <w:left w:val="none" w:sz="0" w:space="0" w:color="auto"/>
                                    <w:bottom w:val="none" w:sz="0" w:space="0" w:color="auto"/>
                                    <w:right w:val="none" w:sz="0" w:space="0" w:color="auto"/>
                                  </w:divBdr>
                                </w:div>
                                <w:div w:id="123820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france.gouv.fr/affichTexteArticle.do;jsessionid=5745D2E8E7BFBD932BB3D4C677E9968B.tpdila13v_3?cidTexte=JORFTEXT000029314390&amp;idArticle=LEGIARTI000029323783&amp;dateTexte=20150822&amp;categorieLien=id" TargetMode="External"/><Relationship Id="rId3" Type="http://schemas.openxmlformats.org/officeDocument/2006/relationships/settings" Target="settings.xml"/><Relationship Id="rId7" Type="http://schemas.openxmlformats.org/officeDocument/2006/relationships/hyperlink" Target="http://www.legifrance.gouv.fr/affichTexteArticle.do;jsessionid=5745D2E8E7BFBD932BB3D4C677E9968B.tpdila13v_3?cidTexte=JORFTEXT000029314390&amp;idArticle=LEGIARTI000029323781&amp;dateTexte=20150822&amp;categorieLien=i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france.gouv.fr/affichTexte.do;jsessionid=5745D2E8E7BFBD932BB3D4C677E9968B.tpdila13v_3?cidTexte=JORFTEXT000022506742&amp;dateTexte=20150822" TargetMode="External"/><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hyperlink" Target="http://www.legifrance.gouv.fr/affichTexte.do;jsessionid=5745D2E8E7BFBD932BB3D4C677E9968B.tpdila13v_3?cidTexte=JORFTEXT000020750097&amp;categorieLien=cid" TargetMode="External"/><Relationship Id="rId4" Type="http://schemas.openxmlformats.org/officeDocument/2006/relationships/webSettings" Target="webSettings.xml"/><Relationship Id="rId9" Type="http://schemas.openxmlformats.org/officeDocument/2006/relationships/hyperlink" Target="http://www.legifrance.gouv.fr/affichCodeArticle.do;jsessionid=5745D2E8E7BFBD932BB3D4C677E9968B.tpdila13v_3?cidTexte=LEGITEXT000006071367&amp;idArticle=LEGIARTI000006583240&amp;dateTexte=&amp;categorieLien=ci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1219</Words>
  <Characters>6706</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Philippe Serdet</dc:creator>
  <cp:keywords/>
  <dc:description/>
  <cp:lastModifiedBy>Philippe Serdet</cp:lastModifiedBy>
  <cp:revision>1</cp:revision>
  <dcterms:created xsi:type="dcterms:W3CDTF">2015-08-22T07:20:00Z</dcterms:created>
  <dcterms:modified xsi:type="dcterms:W3CDTF">2015-08-22T07:25:00Z</dcterms:modified>
</cp:coreProperties>
</file>